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837" w:rsidRDefault="00BF5837"/>
    <w:tbl>
      <w:tblPr>
        <w:tblStyle w:val="Grilledutableau"/>
        <w:tblpPr w:leftFromText="141" w:rightFromText="141" w:vertAnchor="text" w:tblpY="-295"/>
        <w:tblW w:w="0" w:type="auto"/>
        <w:tblLook w:val="04A0" w:firstRow="1" w:lastRow="0" w:firstColumn="1" w:lastColumn="0" w:noHBand="0" w:noVBand="1"/>
      </w:tblPr>
      <w:tblGrid>
        <w:gridCol w:w="9062"/>
      </w:tblGrid>
      <w:tr w:rsidR="00BA0F24" w:rsidTr="00F4740F">
        <w:trPr>
          <w:trHeight w:val="2090"/>
        </w:trPr>
        <w:tc>
          <w:tcPr>
            <w:tcW w:w="9062" w:type="dxa"/>
          </w:tcPr>
          <w:p w:rsidR="00BF5837" w:rsidRDefault="007C79B9" w:rsidP="00F4740F">
            <w:pPr>
              <w:jc w:val="center"/>
            </w:pPr>
            <w:r>
              <w:rPr>
                <w:b/>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73pt">
                  <v:imagedata r:id="rId5" o:title="logo1"/>
                </v:shape>
              </w:pict>
            </w:r>
          </w:p>
          <w:p w:rsidR="00BA0F24" w:rsidRPr="006133C7" w:rsidRDefault="00BA0F24" w:rsidP="00F4740F">
            <w:pPr>
              <w:jc w:val="center"/>
              <w:rPr>
                <w:b/>
              </w:rPr>
            </w:pPr>
            <w:r w:rsidRPr="006133C7">
              <w:rPr>
                <w:b/>
              </w:rPr>
              <w:t>Compte-rendu</w:t>
            </w:r>
            <w:r>
              <w:rPr>
                <w:b/>
              </w:rPr>
              <w:t xml:space="preserve"> </w:t>
            </w:r>
          </w:p>
          <w:p w:rsidR="00BA0F24" w:rsidRPr="006133C7" w:rsidRDefault="00BA0F24" w:rsidP="00F4740F">
            <w:pPr>
              <w:jc w:val="center"/>
              <w:rPr>
                <w:b/>
              </w:rPr>
            </w:pPr>
            <w:r>
              <w:rPr>
                <w:b/>
              </w:rPr>
              <w:t xml:space="preserve">Commission Prisons du </w:t>
            </w:r>
            <w:r w:rsidR="0031316D">
              <w:rPr>
                <w:b/>
              </w:rPr>
              <w:t>lundi</w:t>
            </w:r>
            <w:r>
              <w:rPr>
                <w:b/>
              </w:rPr>
              <w:t xml:space="preserve"> </w:t>
            </w:r>
            <w:r w:rsidR="00C650F0">
              <w:rPr>
                <w:b/>
              </w:rPr>
              <w:t>1</w:t>
            </w:r>
            <w:r w:rsidR="0031316D">
              <w:rPr>
                <w:b/>
              </w:rPr>
              <w:t>1/03</w:t>
            </w:r>
            <w:r w:rsidR="00E726C1">
              <w:rPr>
                <w:b/>
              </w:rPr>
              <w:t>/2024</w:t>
            </w:r>
            <w:r>
              <w:rPr>
                <w:b/>
              </w:rPr>
              <w:t xml:space="preserve"> </w:t>
            </w:r>
          </w:p>
          <w:p w:rsidR="00BA0F24" w:rsidRDefault="00BA0F24" w:rsidP="00F4740F">
            <w:pPr>
              <w:jc w:val="center"/>
              <w:rPr>
                <w:b/>
              </w:rPr>
            </w:pPr>
            <w:r w:rsidRPr="006133C7">
              <w:rPr>
                <w:b/>
              </w:rPr>
              <w:t>En visioconférence</w:t>
            </w:r>
          </w:p>
          <w:p w:rsidR="00BA0F24" w:rsidRDefault="00BA0F24" w:rsidP="00F4740F">
            <w:pPr>
              <w:jc w:val="center"/>
            </w:pPr>
          </w:p>
        </w:tc>
      </w:tr>
    </w:tbl>
    <w:p w:rsidR="00BA0F24" w:rsidRDefault="00BA0F24" w:rsidP="00BA0F24">
      <w:pPr>
        <w:spacing w:after="0"/>
        <w:jc w:val="both"/>
        <w:rPr>
          <w:b/>
          <w:color w:val="0070C0"/>
        </w:rPr>
      </w:pPr>
    </w:p>
    <w:p w:rsidR="00BA0F24" w:rsidRPr="001652AC" w:rsidRDefault="00BA0F24" w:rsidP="00BA0F24">
      <w:pPr>
        <w:spacing w:after="0"/>
        <w:jc w:val="both"/>
      </w:pPr>
      <w:r w:rsidRPr="00C55A87">
        <w:rPr>
          <w:b/>
          <w:color w:val="5B9BD5" w:themeColor="accent1"/>
        </w:rPr>
        <w:t>Pilote</w:t>
      </w:r>
      <w:r w:rsidRPr="001652AC">
        <w:rPr>
          <w:b/>
          <w:color w:val="0070C0"/>
        </w:rPr>
        <w:t> :</w:t>
      </w:r>
      <w:r>
        <w:t xml:space="preserve"> D</w:t>
      </w:r>
      <w:r w:rsidRPr="001652AC">
        <w:t xml:space="preserve">r Jean-Luc </w:t>
      </w:r>
      <w:proofErr w:type="spellStart"/>
      <w:r w:rsidRPr="001652AC">
        <w:t>Boussard</w:t>
      </w:r>
      <w:proofErr w:type="spellEnd"/>
    </w:p>
    <w:p w:rsidR="00BA0F24" w:rsidRPr="001652AC" w:rsidRDefault="00BA0F24" w:rsidP="00BA0F24">
      <w:pPr>
        <w:spacing w:after="0"/>
        <w:jc w:val="both"/>
      </w:pPr>
    </w:p>
    <w:p w:rsidR="00BA0F24" w:rsidRPr="00C55A87" w:rsidRDefault="00BA0F24" w:rsidP="00BA0F24">
      <w:pPr>
        <w:spacing w:after="0"/>
        <w:jc w:val="both"/>
        <w:rPr>
          <w:b/>
          <w:color w:val="5B9BD5" w:themeColor="accent1"/>
        </w:rPr>
      </w:pPr>
      <w:proofErr w:type="spellStart"/>
      <w:proofErr w:type="gramStart"/>
      <w:r w:rsidRPr="00C55A87">
        <w:rPr>
          <w:b/>
          <w:color w:val="5B9BD5" w:themeColor="accent1"/>
        </w:rPr>
        <w:t>Présent.e.</w:t>
      </w:r>
      <w:r w:rsidR="00BD1C74" w:rsidRPr="00C55A87">
        <w:rPr>
          <w:b/>
          <w:color w:val="5B9BD5" w:themeColor="accent1"/>
        </w:rPr>
        <w:t>s</w:t>
      </w:r>
      <w:proofErr w:type="spellEnd"/>
      <w:proofErr w:type="gramEnd"/>
      <w:r w:rsidRPr="00C55A87">
        <w:rPr>
          <w:b/>
          <w:color w:val="5B9BD5" w:themeColor="accent1"/>
        </w:rPr>
        <w:t xml:space="preserve"> : </w:t>
      </w:r>
    </w:p>
    <w:p w:rsidR="00BA0F24" w:rsidRDefault="00BD1C74" w:rsidP="00BA0F24">
      <w:pPr>
        <w:spacing w:after="0"/>
        <w:jc w:val="both"/>
      </w:pPr>
      <w:proofErr w:type="spellStart"/>
      <w:r w:rsidRPr="001652AC">
        <w:rPr>
          <w:b/>
        </w:rPr>
        <w:t>Boussard</w:t>
      </w:r>
      <w:proofErr w:type="spellEnd"/>
      <w:r w:rsidRPr="001652AC">
        <w:rPr>
          <w:b/>
        </w:rPr>
        <w:t xml:space="preserve"> </w:t>
      </w:r>
      <w:r w:rsidR="00BA0F24" w:rsidRPr="001652AC">
        <w:rPr>
          <w:b/>
        </w:rPr>
        <w:t>Jean-Luc</w:t>
      </w:r>
      <w:r w:rsidR="00BA0F24" w:rsidRPr="001652AC">
        <w:t>, Médecin retraité</w:t>
      </w:r>
    </w:p>
    <w:p w:rsidR="0034059D" w:rsidRPr="000D5717" w:rsidRDefault="00BD1C74" w:rsidP="0034059D">
      <w:pPr>
        <w:spacing w:after="0"/>
        <w:jc w:val="both"/>
        <w:rPr>
          <w:b/>
        </w:rPr>
      </w:pPr>
      <w:r w:rsidRPr="00BD1C74">
        <w:rPr>
          <w:b/>
        </w:rPr>
        <w:t xml:space="preserve">Brun Alexandre, </w:t>
      </w:r>
      <w:r w:rsidRPr="00BD1C74">
        <w:t>biostatisticien COREVIH Ile de France Est</w:t>
      </w:r>
      <w:r>
        <w:rPr>
          <w:b/>
        </w:rPr>
        <w:t xml:space="preserve"> </w:t>
      </w:r>
      <w:r w:rsidR="0034059D" w:rsidRPr="0034059D">
        <w:t> </w:t>
      </w:r>
    </w:p>
    <w:p w:rsidR="00747501" w:rsidRPr="000D5717" w:rsidRDefault="00747501" w:rsidP="00747501">
      <w:pPr>
        <w:spacing w:after="0"/>
        <w:jc w:val="both"/>
        <w:rPr>
          <w:b/>
        </w:rPr>
      </w:pPr>
      <w:r>
        <w:rPr>
          <w:b/>
        </w:rPr>
        <w:t>Leroy Pierre,</w:t>
      </w:r>
      <w:r>
        <w:t xml:space="preserve"> PH GHSI</w:t>
      </w:r>
      <w:r w:rsidR="000D5717">
        <w:t>F Melun, Unité de santé publique</w:t>
      </w:r>
    </w:p>
    <w:p w:rsidR="000707E2" w:rsidRPr="000707E2" w:rsidRDefault="000707E2" w:rsidP="00747501">
      <w:pPr>
        <w:spacing w:after="0"/>
        <w:jc w:val="both"/>
        <w:rPr>
          <w:b/>
        </w:rPr>
      </w:pPr>
      <w:proofErr w:type="spellStart"/>
      <w:r w:rsidRPr="000707E2">
        <w:rPr>
          <w:b/>
        </w:rPr>
        <w:t>Nouiouat</w:t>
      </w:r>
      <w:proofErr w:type="spellEnd"/>
      <w:r w:rsidRPr="000707E2">
        <w:rPr>
          <w:b/>
        </w:rPr>
        <w:t xml:space="preserve"> </w:t>
      </w:r>
      <w:proofErr w:type="spellStart"/>
      <w:r w:rsidRPr="000707E2">
        <w:rPr>
          <w:b/>
        </w:rPr>
        <w:t>Rhida</w:t>
      </w:r>
      <w:proofErr w:type="spellEnd"/>
    </w:p>
    <w:p w:rsidR="006D53AC" w:rsidRPr="006D53AC" w:rsidRDefault="00437A21" w:rsidP="00747501">
      <w:pPr>
        <w:spacing w:after="0"/>
        <w:jc w:val="both"/>
        <w:rPr>
          <w:b/>
        </w:rPr>
      </w:pPr>
      <w:r>
        <w:rPr>
          <w:b/>
        </w:rPr>
        <w:t>M</w:t>
      </w:r>
      <w:r w:rsidR="006D53AC" w:rsidRPr="006D53AC">
        <w:rPr>
          <w:b/>
        </w:rPr>
        <w:t xml:space="preserve">ichon Christophe, </w:t>
      </w:r>
    </w:p>
    <w:p w:rsidR="00BD1C74" w:rsidRDefault="00BD1C74" w:rsidP="00BD1C74">
      <w:pPr>
        <w:spacing w:after="0"/>
        <w:jc w:val="both"/>
      </w:pPr>
      <w:proofErr w:type="spellStart"/>
      <w:r>
        <w:rPr>
          <w:b/>
        </w:rPr>
        <w:t>Rozenbaum</w:t>
      </w:r>
      <w:proofErr w:type="spellEnd"/>
      <w:r w:rsidRPr="00BD1C74">
        <w:rPr>
          <w:b/>
        </w:rPr>
        <w:t xml:space="preserve"> </w:t>
      </w:r>
      <w:r>
        <w:rPr>
          <w:b/>
        </w:rPr>
        <w:t xml:space="preserve">Willy, </w:t>
      </w:r>
      <w:r>
        <w:t>Président du COREVIH IDF Est</w:t>
      </w:r>
    </w:p>
    <w:p w:rsidR="006F25CF" w:rsidRPr="00BD1C74" w:rsidRDefault="006F25CF" w:rsidP="00BD1C74">
      <w:pPr>
        <w:spacing w:after="0"/>
        <w:jc w:val="both"/>
        <w:rPr>
          <w:b/>
        </w:rPr>
      </w:pPr>
      <w:r w:rsidRPr="006F25CF">
        <w:rPr>
          <w:b/>
        </w:rPr>
        <w:t>Roches Noémie</w:t>
      </w:r>
      <w:r>
        <w:t>, Chargée de mission en santé publique</w:t>
      </w:r>
    </w:p>
    <w:p w:rsidR="00747501" w:rsidRDefault="00747501" w:rsidP="00747501">
      <w:pPr>
        <w:spacing w:after="0"/>
        <w:jc w:val="both"/>
      </w:pPr>
      <w:proofErr w:type="spellStart"/>
      <w:r w:rsidRPr="00747501">
        <w:rPr>
          <w:b/>
        </w:rPr>
        <w:t>Roukas</w:t>
      </w:r>
      <w:proofErr w:type="spellEnd"/>
      <w:r w:rsidRPr="00747501">
        <w:rPr>
          <w:b/>
        </w:rPr>
        <w:t xml:space="preserve"> Hicham</w:t>
      </w:r>
      <w:r>
        <w:t xml:space="preserve">, TEC, COREVIH IDF Est </w:t>
      </w:r>
    </w:p>
    <w:p w:rsidR="00747501" w:rsidRDefault="00747501" w:rsidP="005E2E8F">
      <w:pPr>
        <w:spacing w:after="0"/>
        <w:jc w:val="both"/>
        <w:rPr>
          <w:b/>
        </w:rPr>
      </w:pPr>
    </w:p>
    <w:p w:rsidR="006F5581" w:rsidRDefault="006F5581" w:rsidP="005E2E8F">
      <w:pPr>
        <w:jc w:val="both"/>
        <w:rPr>
          <w:b/>
          <w:u w:val="single"/>
        </w:rPr>
      </w:pPr>
    </w:p>
    <w:p w:rsidR="00C55A87" w:rsidRDefault="00C55A87" w:rsidP="005E2E8F">
      <w:pPr>
        <w:autoSpaceDE w:val="0"/>
        <w:autoSpaceDN w:val="0"/>
        <w:adjustRightInd w:val="0"/>
        <w:spacing w:after="0" w:line="240" w:lineRule="auto"/>
        <w:jc w:val="both"/>
        <w:rPr>
          <w:rFonts w:ascii="Times-Roman" w:hAnsi="Times-Roman" w:cs="Times-Roman"/>
          <w:color w:val="000000"/>
          <w:sz w:val="24"/>
          <w:szCs w:val="24"/>
        </w:rPr>
      </w:pPr>
      <w:r>
        <w:rPr>
          <w:rFonts w:ascii="Times-Roman" w:hAnsi="Times-Roman" w:cs="Times-Roman"/>
          <w:color w:val="000000"/>
          <w:sz w:val="24"/>
          <w:szCs w:val="24"/>
        </w:rPr>
        <w:t>Lors de la réunion du 11 mars 2024, une enquête sur la prise en charge du VIH et des IST dans les USLD en charge des lieux de privation de liberté en Île-de-France a été discutée par les membres de la commission prison du COREVIH IDF EST. Huit sur treize établissements ont pu fournir des données sur leurs activités.</w:t>
      </w:r>
    </w:p>
    <w:p w:rsidR="00C55A87" w:rsidRDefault="00C55A87" w:rsidP="005E2E8F">
      <w:pPr>
        <w:autoSpaceDE w:val="0"/>
        <w:autoSpaceDN w:val="0"/>
        <w:adjustRightInd w:val="0"/>
        <w:spacing w:after="0" w:line="240" w:lineRule="auto"/>
        <w:jc w:val="both"/>
        <w:rPr>
          <w:rFonts w:ascii="Times-Roman" w:hAnsi="Times-Roman" w:cs="Times-Roman"/>
          <w:color w:val="000000"/>
          <w:sz w:val="24"/>
          <w:szCs w:val="24"/>
        </w:rPr>
      </w:pPr>
      <w:r>
        <w:rPr>
          <w:rFonts w:ascii="Times-Roman" w:hAnsi="Times-Roman" w:cs="Times-Roman"/>
          <w:color w:val="000000"/>
          <w:sz w:val="24"/>
          <w:szCs w:val="24"/>
        </w:rPr>
        <w:t>Cela a concerné en 2022 17 534 entrants et 27 618 détenus.</w:t>
      </w:r>
    </w:p>
    <w:p w:rsidR="00C55A87" w:rsidRDefault="00C55A87" w:rsidP="005E2E8F">
      <w:pPr>
        <w:autoSpaceDE w:val="0"/>
        <w:autoSpaceDN w:val="0"/>
        <w:adjustRightInd w:val="0"/>
        <w:spacing w:after="0" w:line="240" w:lineRule="auto"/>
        <w:jc w:val="both"/>
        <w:rPr>
          <w:rFonts w:ascii="Times-Roman" w:hAnsi="Times-Roman" w:cs="Times-Roman"/>
          <w:color w:val="000000"/>
          <w:sz w:val="24"/>
          <w:szCs w:val="24"/>
        </w:rPr>
      </w:pPr>
    </w:p>
    <w:p w:rsidR="00C55A87" w:rsidRDefault="00C55A87" w:rsidP="005E2E8F">
      <w:pPr>
        <w:autoSpaceDE w:val="0"/>
        <w:autoSpaceDN w:val="0"/>
        <w:adjustRightInd w:val="0"/>
        <w:spacing w:after="0" w:line="240" w:lineRule="auto"/>
        <w:jc w:val="both"/>
        <w:rPr>
          <w:rFonts w:ascii="Times-Roman" w:hAnsi="Times-Roman" w:cs="Times-Roman"/>
          <w:color w:val="000000"/>
          <w:sz w:val="24"/>
          <w:szCs w:val="24"/>
        </w:rPr>
      </w:pPr>
    </w:p>
    <w:p w:rsidR="00C55A87" w:rsidRPr="00C55A87" w:rsidRDefault="00C55A87" w:rsidP="005E2E8F">
      <w:pPr>
        <w:autoSpaceDE w:val="0"/>
        <w:autoSpaceDN w:val="0"/>
        <w:adjustRightInd w:val="0"/>
        <w:spacing w:after="0" w:line="240" w:lineRule="auto"/>
        <w:jc w:val="both"/>
        <w:rPr>
          <w:rFonts w:ascii="Times-Roman" w:hAnsi="Times-Roman" w:cs="Times-Roman"/>
          <w:color w:val="5B9BD5" w:themeColor="accent1"/>
          <w:sz w:val="24"/>
          <w:szCs w:val="24"/>
        </w:rPr>
      </w:pPr>
      <w:r w:rsidRPr="00C55A87">
        <w:rPr>
          <w:rFonts w:ascii="Times-Roman" w:hAnsi="Times-Roman" w:cs="Times-Roman"/>
          <w:color w:val="5B9BD5" w:themeColor="accent1"/>
          <w:sz w:val="24"/>
          <w:szCs w:val="24"/>
        </w:rPr>
        <w:t>L’ordre du jour était le suivant</w:t>
      </w:r>
      <w:r>
        <w:rPr>
          <w:rFonts w:ascii="Times-Roman" w:hAnsi="Times-Roman" w:cs="Times-Roman"/>
          <w:color w:val="5B9BD5" w:themeColor="accent1"/>
          <w:sz w:val="24"/>
          <w:szCs w:val="24"/>
        </w:rPr>
        <w:t xml:space="preserve"> </w:t>
      </w:r>
      <w:r w:rsidRPr="00C55A87">
        <w:rPr>
          <w:rFonts w:ascii="Times-Roman" w:hAnsi="Times-Roman" w:cs="Times-Roman"/>
          <w:color w:val="5B9BD5" w:themeColor="accent1"/>
          <w:sz w:val="24"/>
          <w:szCs w:val="24"/>
        </w:rPr>
        <w:t>:</w:t>
      </w:r>
    </w:p>
    <w:p w:rsidR="00C55A87" w:rsidRDefault="00C55A87" w:rsidP="005E2E8F">
      <w:pPr>
        <w:autoSpaceDE w:val="0"/>
        <w:autoSpaceDN w:val="0"/>
        <w:adjustRightInd w:val="0"/>
        <w:spacing w:after="0" w:line="240" w:lineRule="auto"/>
        <w:jc w:val="both"/>
        <w:rPr>
          <w:rFonts w:ascii="Times-Roman" w:hAnsi="Times-Roman" w:cs="Times-Roman"/>
          <w:color w:val="000000"/>
          <w:sz w:val="24"/>
          <w:szCs w:val="24"/>
        </w:rPr>
      </w:pPr>
    </w:p>
    <w:p w:rsidR="00C55A87" w:rsidRDefault="00C55A87" w:rsidP="005E2E8F">
      <w:pPr>
        <w:numPr>
          <w:ilvl w:val="0"/>
          <w:numId w:val="9"/>
        </w:numPr>
        <w:tabs>
          <w:tab w:val="left" w:pos="220"/>
          <w:tab w:val="left" w:pos="720"/>
        </w:tabs>
        <w:autoSpaceDE w:val="0"/>
        <w:autoSpaceDN w:val="0"/>
        <w:adjustRightInd w:val="0"/>
        <w:spacing w:after="0" w:line="240" w:lineRule="auto"/>
        <w:ind w:hanging="720"/>
        <w:jc w:val="both"/>
        <w:rPr>
          <w:rFonts w:ascii="Times-Roman" w:hAnsi="Times-Roman" w:cs="Times-Roman"/>
          <w:color w:val="000000"/>
          <w:sz w:val="24"/>
          <w:szCs w:val="24"/>
        </w:rPr>
      </w:pPr>
      <w:r>
        <w:rPr>
          <w:rFonts w:ascii="Times-Roman" w:hAnsi="Times-Roman" w:cs="Times-Roman"/>
          <w:color w:val="000000"/>
          <w:sz w:val="24"/>
          <w:szCs w:val="24"/>
        </w:rPr>
        <w:t>Etat d’avancement sur la collecte de données</w:t>
      </w:r>
    </w:p>
    <w:p w:rsidR="00C55A87" w:rsidRDefault="00C55A87" w:rsidP="005E2E8F">
      <w:pPr>
        <w:numPr>
          <w:ilvl w:val="0"/>
          <w:numId w:val="9"/>
        </w:numPr>
        <w:tabs>
          <w:tab w:val="left" w:pos="220"/>
          <w:tab w:val="left" w:pos="720"/>
        </w:tabs>
        <w:autoSpaceDE w:val="0"/>
        <w:autoSpaceDN w:val="0"/>
        <w:adjustRightInd w:val="0"/>
        <w:spacing w:after="0" w:line="240" w:lineRule="auto"/>
        <w:ind w:hanging="720"/>
        <w:jc w:val="both"/>
        <w:rPr>
          <w:rFonts w:ascii="Times-Roman" w:hAnsi="Times-Roman" w:cs="Times-Roman"/>
          <w:color w:val="000000"/>
          <w:sz w:val="24"/>
          <w:szCs w:val="24"/>
        </w:rPr>
      </w:pPr>
      <w:r>
        <w:rPr>
          <w:rFonts w:ascii="Times-Roman" w:hAnsi="Times-Roman" w:cs="Times-Roman"/>
          <w:color w:val="000000"/>
          <w:sz w:val="24"/>
          <w:szCs w:val="24"/>
        </w:rPr>
        <w:t>Première interprétation des résultats</w:t>
      </w:r>
    </w:p>
    <w:p w:rsidR="00C55A87" w:rsidRDefault="00C55A87" w:rsidP="005E2E8F">
      <w:pPr>
        <w:numPr>
          <w:ilvl w:val="0"/>
          <w:numId w:val="9"/>
        </w:numPr>
        <w:tabs>
          <w:tab w:val="left" w:pos="220"/>
          <w:tab w:val="left" w:pos="720"/>
        </w:tabs>
        <w:autoSpaceDE w:val="0"/>
        <w:autoSpaceDN w:val="0"/>
        <w:adjustRightInd w:val="0"/>
        <w:spacing w:after="0" w:line="240" w:lineRule="auto"/>
        <w:ind w:hanging="720"/>
        <w:jc w:val="both"/>
        <w:rPr>
          <w:rFonts w:ascii="Times-Roman" w:hAnsi="Times-Roman" w:cs="Times-Roman"/>
          <w:color w:val="000000"/>
          <w:sz w:val="24"/>
          <w:szCs w:val="24"/>
        </w:rPr>
      </w:pPr>
      <w:r>
        <w:rPr>
          <w:rFonts w:ascii="Times-Roman" w:hAnsi="Times-Roman" w:cs="Times-Roman"/>
          <w:color w:val="000000"/>
          <w:sz w:val="24"/>
          <w:szCs w:val="24"/>
        </w:rPr>
        <w:t>Réflexion sur le rendu des résultats</w:t>
      </w:r>
    </w:p>
    <w:p w:rsidR="00C55A87" w:rsidRDefault="00C55A87" w:rsidP="005E2E8F">
      <w:pPr>
        <w:autoSpaceDE w:val="0"/>
        <w:autoSpaceDN w:val="0"/>
        <w:adjustRightInd w:val="0"/>
        <w:spacing w:after="0" w:line="240" w:lineRule="auto"/>
        <w:jc w:val="both"/>
        <w:rPr>
          <w:rFonts w:ascii="Times-Roman" w:hAnsi="Times-Roman" w:cs="Times-Roman"/>
          <w:color w:val="000000"/>
          <w:sz w:val="24"/>
          <w:szCs w:val="24"/>
        </w:rPr>
      </w:pPr>
    </w:p>
    <w:p w:rsidR="00C55A87" w:rsidRDefault="00C55A87" w:rsidP="005E2E8F">
      <w:pPr>
        <w:autoSpaceDE w:val="0"/>
        <w:autoSpaceDN w:val="0"/>
        <w:adjustRightInd w:val="0"/>
        <w:spacing w:after="240" w:line="240" w:lineRule="auto"/>
        <w:jc w:val="both"/>
        <w:rPr>
          <w:rFonts w:ascii="Times-Roman" w:hAnsi="Times-Roman" w:cs="Times-Roman"/>
          <w:color w:val="000000"/>
          <w:sz w:val="24"/>
          <w:szCs w:val="24"/>
        </w:rPr>
      </w:pPr>
      <w:r>
        <w:rPr>
          <w:rFonts w:ascii="Times-Bold" w:hAnsi="Times-Bold" w:cs="Times-Bold"/>
          <w:b/>
          <w:bCs/>
          <w:color w:val="000000"/>
          <w:sz w:val="24"/>
          <w:szCs w:val="24"/>
        </w:rPr>
        <w:t>Etat d’avancement sur la collecte de données :</w:t>
      </w:r>
    </w:p>
    <w:p w:rsidR="00C55A87" w:rsidRDefault="00C55A87" w:rsidP="005E2E8F">
      <w:pPr>
        <w:autoSpaceDE w:val="0"/>
        <w:autoSpaceDN w:val="0"/>
        <w:adjustRightInd w:val="0"/>
        <w:spacing w:after="240" w:line="240" w:lineRule="auto"/>
        <w:jc w:val="both"/>
        <w:rPr>
          <w:rFonts w:ascii="Times-Roman" w:hAnsi="Times-Roman" w:cs="Times-Roman"/>
          <w:color w:val="000000"/>
          <w:sz w:val="24"/>
          <w:szCs w:val="24"/>
        </w:rPr>
      </w:pPr>
      <w:r>
        <w:rPr>
          <w:rFonts w:ascii="Times-Roman" w:hAnsi="Times-Roman" w:cs="Times-Roman"/>
          <w:color w:val="000000"/>
          <w:sz w:val="24"/>
          <w:szCs w:val="24"/>
        </w:rPr>
        <w:t xml:space="preserve">Retour sur les chiffres de Fleury </w:t>
      </w:r>
      <w:proofErr w:type="spellStart"/>
      <w:r>
        <w:rPr>
          <w:rFonts w:ascii="Times-Roman" w:hAnsi="Times-Roman" w:cs="Times-Roman"/>
          <w:color w:val="000000"/>
          <w:sz w:val="24"/>
          <w:szCs w:val="24"/>
        </w:rPr>
        <w:t>Mérogis</w:t>
      </w:r>
      <w:proofErr w:type="spellEnd"/>
      <w:r>
        <w:rPr>
          <w:rFonts w:ascii="Times-Roman" w:hAnsi="Times-Roman" w:cs="Times-Roman"/>
          <w:color w:val="000000"/>
          <w:sz w:val="24"/>
          <w:szCs w:val="24"/>
        </w:rPr>
        <w:t> : Fleury a commis une erreur en fournissant les chiffres des personnes entrant en détention au 1er janvier 2022, au lieu des entrants dans l’année. De ce fait, c’est en passant par l’ARS que les chiffres ont pu être corrigés. On compte 10284 hébergés. A présent, les données ont l’air cohérentes et elles fournissent une incidence proche de celles des autres établissements.</w:t>
      </w:r>
    </w:p>
    <w:p w:rsidR="00C55A87" w:rsidRDefault="00C55A87" w:rsidP="005E2E8F">
      <w:pPr>
        <w:autoSpaceDE w:val="0"/>
        <w:autoSpaceDN w:val="0"/>
        <w:adjustRightInd w:val="0"/>
        <w:spacing w:after="240" w:line="240" w:lineRule="auto"/>
        <w:jc w:val="both"/>
        <w:rPr>
          <w:rFonts w:ascii="Times-Roman" w:hAnsi="Times-Roman" w:cs="Times-Roman"/>
          <w:color w:val="000000"/>
          <w:sz w:val="24"/>
          <w:szCs w:val="24"/>
        </w:rPr>
      </w:pPr>
      <w:r>
        <w:rPr>
          <w:rFonts w:ascii="Times-Roman" w:hAnsi="Times-Roman" w:cs="Times-Roman"/>
          <w:color w:val="000000"/>
          <w:sz w:val="24"/>
          <w:szCs w:val="24"/>
        </w:rPr>
        <w:t xml:space="preserve">Les données sont perdues concernant les sites qui furent piratés, quant à Poissy et Osny, ils ont été maintes fois relancés sans pour l’instant donner de retour. Quant à Nanterre, les données </w:t>
      </w:r>
      <w:r>
        <w:rPr>
          <w:rFonts w:ascii="Times-Roman" w:hAnsi="Times-Roman" w:cs="Times-Roman"/>
          <w:color w:val="000000"/>
          <w:sz w:val="24"/>
          <w:szCs w:val="24"/>
        </w:rPr>
        <w:lastRenderedPageBreak/>
        <w:t>étaient partielles et ne comprenaient pas de données sur les sérologies, donc Alexandre n’a pas pu les exploiter.</w:t>
      </w:r>
    </w:p>
    <w:p w:rsidR="00C55A87" w:rsidRDefault="00C55A87" w:rsidP="005E2E8F">
      <w:pPr>
        <w:autoSpaceDE w:val="0"/>
        <w:autoSpaceDN w:val="0"/>
        <w:adjustRightInd w:val="0"/>
        <w:spacing w:after="240" w:line="240" w:lineRule="auto"/>
        <w:jc w:val="both"/>
        <w:rPr>
          <w:rFonts w:ascii="Times-Roman" w:hAnsi="Times-Roman" w:cs="Times-Roman"/>
          <w:color w:val="000000"/>
          <w:sz w:val="24"/>
          <w:szCs w:val="24"/>
        </w:rPr>
      </w:pPr>
      <w:r>
        <w:rPr>
          <w:rFonts w:ascii="Times-Roman" w:hAnsi="Times-Roman" w:cs="Times-Roman"/>
          <w:color w:val="000000"/>
          <w:sz w:val="24"/>
          <w:szCs w:val="24"/>
        </w:rPr>
        <w:t xml:space="preserve">Huit établissements sur douze ont fourni des données ; pour JL </w:t>
      </w:r>
      <w:proofErr w:type="spellStart"/>
      <w:r>
        <w:rPr>
          <w:rFonts w:ascii="Times-Roman" w:hAnsi="Times-Roman" w:cs="Times-Roman"/>
          <w:color w:val="000000"/>
          <w:sz w:val="24"/>
          <w:szCs w:val="24"/>
        </w:rPr>
        <w:t>Boussard</w:t>
      </w:r>
      <w:proofErr w:type="spellEnd"/>
      <w:r>
        <w:rPr>
          <w:rFonts w:ascii="Times-Roman" w:hAnsi="Times-Roman" w:cs="Times-Roman"/>
          <w:color w:val="000000"/>
          <w:sz w:val="24"/>
          <w:szCs w:val="24"/>
        </w:rPr>
        <w:t>, il faut à présent s’en tenir là, c’est un bon pourcentage et il est peu probable qu’on en obtienne davantage de la part des quatre établissements restants.</w:t>
      </w:r>
    </w:p>
    <w:p w:rsidR="00C55A87" w:rsidRDefault="00C55A87" w:rsidP="005E2E8F">
      <w:pPr>
        <w:autoSpaceDE w:val="0"/>
        <w:autoSpaceDN w:val="0"/>
        <w:adjustRightInd w:val="0"/>
        <w:spacing w:after="240" w:line="240" w:lineRule="auto"/>
        <w:jc w:val="both"/>
        <w:rPr>
          <w:rFonts w:ascii="Times-Roman" w:hAnsi="Times-Roman" w:cs="Times-Roman"/>
          <w:color w:val="000000"/>
          <w:sz w:val="24"/>
          <w:szCs w:val="24"/>
        </w:rPr>
      </w:pPr>
      <w:r>
        <w:rPr>
          <w:rFonts w:ascii="Times-Roman" w:hAnsi="Times-Roman" w:cs="Times-Roman"/>
          <w:color w:val="000000"/>
          <w:sz w:val="24"/>
          <w:szCs w:val="24"/>
        </w:rPr>
        <w:t>Pour récapituler, on a environ 17000 entrants en 2022 et nombre total de détenus hébergés : presque 28000. A présent, il convient d’utiliser ces données au plus tôt, car elles datent de 2022 et nous sommes déjà en 2024.</w:t>
      </w:r>
    </w:p>
    <w:p w:rsidR="00C55A87" w:rsidRDefault="00C55A87" w:rsidP="005E2E8F">
      <w:pPr>
        <w:autoSpaceDE w:val="0"/>
        <w:autoSpaceDN w:val="0"/>
        <w:adjustRightInd w:val="0"/>
        <w:spacing w:after="240" w:line="240" w:lineRule="auto"/>
        <w:jc w:val="both"/>
        <w:rPr>
          <w:rFonts w:ascii="Times-Roman" w:hAnsi="Times-Roman" w:cs="Times-Roman"/>
          <w:color w:val="000000"/>
          <w:sz w:val="24"/>
          <w:szCs w:val="24"/>
        </w:rPr>
      </w:pPr>
      <w:r>
        <w:rPr>
          <w:rFonts w:ascii="Times-Bold" w:hAnsi="Times-Bold" w:cs="Times-Bold"/>
          <w:b/>
          <w:bCs/>
          <w:color w:val="000000"/>
          <w:sz w:val="24"/>
          <w:szCs w:val="24"/>
        </w:rPr>
        <w:t>Première interprétation des résultats :</w:t>
      </w:r>
    </w:p>
    <w:p w:rsidR="00C55A87" w:rsidRDefault="00C55A87" w:rsidP="005E2E8F">
      <w:pPr>
        <w:autoSpaceDE w:val="0"/>
        <w:autoSpaceDN w:val="0"/>
        <w:adjustRightInd w:val="0"/>
        <w:spacing w:after="240" w:line="240" w:lineRule="auto"/>
        <w:jc w:val="both"/>
        <w:rPr>
          <w:rFonts w:ascii="Times-Roman" w:hAnsi="Times-Roman" w:cs="Times-Roman"/>
          <w:color w:val="000000"/>
          <w:sz w:val="24"/>
          <w:szCs w:val="24"/>
        </w:rPr>
      </w:pPr>
      <w:r>
        <w:rPr>
          <w:rFonts w:ascii="Times-Roman" w:hAnsi="Times-Roman" w:cs="Times-Roman"/>
          <w:color w:val="000000"/>
          <w:sz w:val="24"/>
          <w:szCs w:val="24"/>
        </w:rPr>
        <w:t>Malgré l’absence de certaines données il est tout de même possible d’analyser certains résultats.</w:t>
      </w:r>
    </w:p>
    <w:p w:rsidR="00C55A87" w:rsidRDefault="00C55A87" w:rsidP="005E2E8F">
      <w:pPr>
        <w:autoSpaceDE w:val="0"/>
        <w:autoSpaceDN w:val="0"/>
        <w:adjustRightInd w:val="0"/>
        <w:spacing w:after="240" w:line="240" w:lineRule="auto"/>
        <w:jc w:val="both"/>
        <w:rPr>
          <w:rFonts w:ascii="Times-Roman" w:hAnsi="Times-Roman" w:cs="Times-Roman"/>
          <w:color w:val="000000"/>
          <w:sz w:val="24"/>
          <w:szCs w:val="24"/>
        </w:rPr>
      </w:pPr>
      <w:r>
        <w:rPr>
          <w:rFonts w:ascii="Times-Roman" w:hAnsi="Times-Roman" w:cs="Times-Roman"/>
          <w:color w:val="000000"/>
          <w:sz w:val="24"/>
          <w:szCs w:val="24"/>
        </w:rPr>
        <w:t>Une remarque est faite concernant les modes de répartitions des détenus en fonction de leur peine ; les lieux de détention sont organisés en maison d’arrêt (peines plus légères) maison de détention et centrales. Selon le délit commis, les détenus restent plus ou moins longtemps incarcérés et ne sont pas forcément vus par les médecins dans un court laps de temps. De ce fait, les résultats sont à pondérer et les pourcentages doivent être regardés avec une marge d’aléatoire.</w:t>
      </w:r>
    </w:p>
    <w:p w:rsidR="00C55A87" w:rsidRDefault="00C55A87" w:rsidP="005E2E8F">
      <w:pPr>
        <w:autoSpaceDE w:val="0"/>
        <w:autoSpaceDN w:val="0"/>
        <w:adjustRightInd w:val="0"/>
        <w:spacing w:after="240" w:line="240" w:lineRule="auto"/>
        <w:jc w:val="both"/>
        <w:rPr>
          <w:rFonts w:ascii="Times-Roman" w:hAnsi="Times-Roman" w:cs="Times-Roman"/>
          <w:color w:val="000000"/>
          <w:sz w:val="24"/>
          <w:szCs w:val="24"/>
        </w:rPr>
      </w:pPr>
      <w:r>
        <w:rPr>
          <w:rFonts w:ascii="Times-Roman" w:hAnsi="Times-Roman" w:cs="Times-Roman"/>
          <w:color w:val="000000"/>
          <w:sz w:val="24"/>
          <w:szCs w:val="24"/>
        </w:rPr>
        <w:t>De plus, il pourrait être intéressant de connaître le nombre d’ETP dans ces structures et l’ARS pourrait être en mesure de nous en communiquer le nombre.</w:t>
      </w:r>
    </w:p>
    <w:p w:rsidR="00C55A87" w:rsidRDefault="00C55A87" w:rsidP="005E2E8F">
      <w:pPr>
        <w:autoSpaceDE w:val="0"/>
        <w:autoSpaceDN w:val="0"/>
        <w:adjustRightInd w:val="0"/>
        <w:spacing w:after="240" w:line="240" w:lineRule="auto"/>
        <w:jc w:val="both"/>
        <w:rPr>
          <w:rFonts w:ascii="Times-Roman" w:hAnsi="Times-Roman" w:cs="Times-Roman"/>
          <w:color w:val="000000"/>
          <w:sz w:val="24"/>
          <w:szCs w:val="24"/>
        </w:rPr>
      </w:pPr>
      <w:r>
        <w:rPr>
          <w:rFonts w:ascii="Times-Bold" w:hAnsi="Times-Bold" w:cs="Times-Bold"/>
          <w:b/>
          <w:bCs/>
          <w:color w:val="000000"/>
          <w:sz w:val="24"/>
          <w:szCs w:val="24"/>
        </w:rPr>
        <w:t>Réflexion sur le rendu des résultats :</w:t>
      </w:r>
    </w:p>
    <w:p w:rsidR="00C55A87" w:rsidRDefault="00C55A87" w:rsidP="005E2E8F">
      <w:pPr>
        <w:autoSpaceDE w:val="0"/>
        <w:autoSpaceDN w:val="0"/>
        <w:adjustRightInd w:val="0"/>
        <w:spacing w:after="240" w:line="240" w:lineRule="auto"/>
        <w:jc w:val="both"/>
        <w:rPr>
          <w:rFonts w:ascii="Times-Roman" w:hAnsi="Times-Roman" w:cs="Times-Roman"/>
          <w:color w:val="000000"/>
          <w:sz w:val="24"/>
          <w:szCs w:val="24"/>
        </w:rPr>
      </w:pPr>
      <w:r>
        <w:rPr>
          <w:rFonts w:ascii="Times-Roman" w:hAnsi="Times-Roman" w:cs="Times-Roman"/>
          <w:color w:val="000000"/>
          <w:sz w:val="24"/>
          <w:szCs w:val="24"/>
        </w:rPr>
        <w:t>Pour Pierre Leroy, si l’on prenait en compte uniquement les séjours longs, on obtiendrait un pourcentage de dépistage qui serait plus haut et plus précis.</w:t>
      </w:r>
    </w:p>
    <w:p w:rsidR="00C55A87" w:rsidRDefault="00C55A87" w:rsidP="005E2E8F">
      <w:pPr>
        <w:autoSpaceDE w:val="0"/>
        <w:autoSpaceDN w:val="0"/>
        <w:adjustRightInd w:val="0"/>
        <w:spacing w:after="240" w:line="240" w:lineRule="auto"/>
        <w:jc w:val="both"/>
        <w:rPr>
          <w:rFonts w:ascii="Times-Roman" w:hAnsi="Times-Roman" w:cs="Times-Roman"/>
          <w:color w:val="000000"/>
          <w:sz w:val="24"/>
          <w:szCs w:val="24"/>
        </w:rPr>
      </w:pPr>
      <w:r>
        <w:rPr>
          <w:rFonts w:ascii="Times-Roman" w:hAnsi="Times-Roman" w:cs="Times-Roman"/>
          <w:color w:val="000000"/>
          <w:sz w:val="24"/>
          <w:szCs w:val="24"/>
        </w:rPr>
        <w:t xml:space="preserve">Malgré tout, Pour M. </w:t>
      </w:r>
      <w:proofErr w:type="spellStart"/>
      <w:r>
        <w:rPr>
          <w:rFonts w:ascii="Times-Roman" w:hAnsi="Times-Roman" w:cs="Times-Roman"/>
          <w:color w:val="000000"/>
          <w:sz w:val="24"/>
          <w:szCs w:val="24"/>
        </w:rPr>
        <w:t>Rozenbaum</w:t>
      </w:r>
      <w:proofErr w:type="spellEnd"/>
      <w:r>
        <w:rPr>
          <w:rFonts w:ascii="Times-Roman" w:hAnsi="Times-Roman" w:cs="Times-Roman"/>
          <w:color w:val="000000"/>
          <w:sz w:val="24"/>
          <w:szCs w:val="24"/>
        </w:rPr>
        <w:t xml:space="preserve">, on peut présenter les résultats de cette enquête sur l’efficacité des systèmes de dépistage en milieu carcéral, en y annotant les réflexions qui en découlent. </w:t>
      </w:r>
    </w:p>
    <w:p w:rsidR="00C55A87" w:rsidRDefault="00C55A87" w:rsidP="005E2E8F">
      <w:pPr>
        <w:autoSpaceDE w:val="0"/>
        <w:autoSpaceDN w:val="0"/>
        <w:adjustRightInd w:val="0"/>
        <w:spacing w:after="240" w:line="240" w:lineRule="auto"/>
        <w:jc w:val="both"/>
        <w:rPr>
          <w:rFonts w:ascii="Times-Roman" w:hAnsi="Times-Roman" w:cs="Times-Roman"/>
          <w:color w:val="000000"/>
          <w:sz w:val="24"/>
          <w:szCs w:val="24"/>
        </w:rPr>
      </w:pPr>
      <w:r>
        <w:rPr>
          <w:rFonts w:ascii="Times-Roman" w:hAnsi="Times-Roman" w:cs="Times-Roman"/>
          <w:color w:val="000000"/>
          <w:sz w:val="24"/>
          <w:szCs w:val="24"/>
        </w:rPr>
        <w:t>Certaines données sont explicables sans pouvoir quantifier des données. Par exemple, la prévalence du VIH en milieu carcéral est de 1%, ce qui représente 10 fois les résultats en ville. De ce type de constat, on devrait pouvoir argumenter sur une offre de dépistage systématique.</w:t>
      </w:r>
    </w:p>
    <w:p w:rsidR="00C55A87" w:rsidRDefault="00C55A87" w:rsidP="005E2E8F">
      <w:pPr>
        <w:autoSpaceDE w:val="0"/>
        <w:autoSpaceDN w:val="0"/>
        <w:adjustRightInd w:val="0"/>
        <w:spacing w:after="240" w:line="240" w:lineRule="auto"/>
        <w:jc w:val="both"/>
        <w:rPr>
          <w:rFonts w:ascii="Times-Roman" w:hAnsi="Times-Roman" w:cs="Times-Roman"/>
          <w:color w:val="000000"/>
          <w:sz w:val="24"/>
          <w:szCs w:val="24"/>
        </w:rPr>
      </w:pPr>
      <w:r>
        <w:rPr>
          <w:rFonts w:ascii="Times-Roman" w:hAnsi="Times-Roman" w:cs="Times-Roman"/>
          <w:color w:val="000000"/>
          <w:sz w:val="24"/>
          <w:szCs w:val="24"/>
        </w:rPr>
        <w:t>De même, il y a une marge d’inconnu entre la proposition de dépistage et le dépistage effectif. Pierre Leroy fait remarquer qu’une des recommandations qui pourraient s’ensuivre serait de faciliter l’accès au dépistage en milieu carcéral ; en ville il y a le dispositif VIH Test dont ne bénéficient pas les personnes incarcérées.</w:t>
      </w:r>
    </w:p>
    <w:p w:rsidR="00C55A87" w:rsidRPr="007C79B9" w:rsidRDefault="00C55A87" w:rsidP="007C79B9">
      <w:pPr>
        <w:autoSpaceDE w:val="0"/>
        <w:autoSpaceDN w:val="0"/>
        <w:adjustRightInd w:val="0"/>
        <w:spacing w:after="240" w:line="240" w:lineRule="auto"/>
        <w:jc w:val="both"/>
        <w:rPr>
          <w:rFonts w:ascii="Times-Roman" w:hAnsi="Times-Roman" w:cs="Times-Roman"/>
          <w:color w:val="000000"/>
          <w:sz w:val="24"/>
          <w:szCs w:val="24"/>
        </w:rPr>
      </w:pPr>
      <w:r>
        <w:rPr>
          <w:rFonts w:ascii="Times-Roman" w:hAnsi="Times-Roman" w:cs="Times-Roman"/>
          <w:color w:val="000000"/>
          <w:sz w:val="24"/>
          <w:szCs w:val="24"/>
        </w:rPr>
        <w:t>Sur les traitements, on observe qu’en moyenne 85% des personnes traitées sont indétectables.</w:t>
      </w:r>
      <w:bookmarkStart w:id="0" w:name="_GoBack"/>
      <w:bookmarkEnd w:id="0"/>
    </w:p>
    <w:p w:rsidR="00C55A87" w:rsidRDefault="00C55A87" w:rsidP="005E2E8F">
      <w:pPr>
        <w:autoSpaceDE w:val="0"/>
        <w:autoSpaceDN w:val="0"/>
        <w:adjustRightInd w:val="0"/>
        <w:spacing w:after="0" w:line="240" w:lineRule="auto"/>
        <w:jc w:val="both"/>
        <w:rPr>
          <w:rFonts w:ascii="Times-Bold" w:hAnsi="Times-Bold" w:cs="Times-Bold"/>
          <w:b/>
          <w:bCs/>
          <w:color w:val="000000"/>
          <w:sz w:val="24"/>
          <w:szCs w:val="24"/>
        </w:rPr>
      </w:pPr>
      <w:r>
        <w:rPr>
          <w:rFonts w:ascii="Times-Bold" w:hAnsi="Times-Bold" w:cs="Times-Bold"/>
          <w:b/>
          <w:bCs/>
          <w:color w:val="000000"/>
          <w:sz w:val="24"/>
          <w:szCs w:val="24"/>
        </w:rPr>
        <w:t>TAUX de dépistage :</w:t>
      </w:r>
    </w:p>
    <w:p w:rsidR="00C55A87" w:rsidRDefault="00C55A87" w:rsidP="005E2E8F">
      <w:pPr>
        <w:autoSpaceDE w:val="0"/>
        <w:autoSpaceDN w:val="0"/>
        <w:adjustRightInd w:val="0"/>
        <w:spacing w:after="0" w:line="240" w:lineRule="auto"/>
        <w:jc w:val="both"/>
        <w:rPr>
          <w:rFonts w:ascii="Times-Bold" w:hAnsi="Times-Bold" w:cs="Times-Bold"/>
          <w:b/>
          <w:bCs/>
          <w:color w:val="000000"/>
          <w:sz w:val="24"/>
          <w:szCs w:val="24"/>
        </w:rPr>
      </w:pPr>
    </w:p>
    <w:p w:rsidR="00C55A87" w:rsidRDefault="00C55A87" w:rsidP="005E2E8F">
      <w:pPr>
        <w:autoSpaceDE w:val="0"/>
        <w:autoSpaceDN w:val="0"/>
        <w:adjustRightInd w:val="0"/>
        <w:spacing w:after="0" w:line="240" w:lineRule="auto"/>
        <w:jc w:val="both"/>
        <w:rPr>
          <w:rFonts w:ascii="Times-Roman" w:hAnsi="Times-Roman" w:cs="Times-Roman"/>
          <w:color w:val="000000"/>
          <w:sz w:val="24"/>
          <w:szCs w:val="24"/>
        </w:rPr>
      </w:pPr>
      <w:r>
        <w:rPr>
          <w:rFonts w:ascii="Times-Roman" w:hAnsi="Times-Roman" w:cs="Times-Roman"/>
          <w:color w:val="000000"/>
          <w:sz w:val="24"/>
          <w:szCs w:val="24"/>
        </w:rPr>
        <w:t xml:space="preserve">Pour </w:t>
      </w:r>
      <w:r>
        <w:rPr>
          <w:rFonts w:ascii="Times-Bold" w:hAnsi="Times-Bold" w:cs="Times-Bold"/>
          <w:b/>
          <w:bCs/>
          <w:color w:val="000000"/>
          <w:sz w:val="24"/>
          <w:szCs w:val="24"/>
        </w:rPr>
        <w:t>le VIH, Le VHC et le VHB</w:t>
      </w:r>
      <w:r>
        <w:rPr>
          <w:rFonts w:ascii="Times-Roman" w:hAnsi="Times-Roman" w:cs="Times-Roman"/>
          <w:color w:val="000000"/>
          <w:sz w:val="24"/>
          <w:szCs w:val="24"/>
        </w:rPr>
        <w:t>, 1/3 à ½ des entrants ont bénéficiés d’un dépistage sauf à Melun où un nombre modéré d’entrant a permis d’en dépister 100%.</w:t>
      </w:r>
    </w:p>
    <w:p w:rsidR="00C55A87" w:rsidRDefault="00C55A87" w:rsidP="005E2E8F">
      <w:pPr>
        <w:autoSpaceDE w:val="0"/>
        <w:autoSpaceDN w:val="0"/>
        <w:adjustRightInd w:val="0"/>
        <w:spacing w:after="0" w:line="240" w:lineRule="auto"/>
        <w:jc w:val="both"/>
        <w:rPr>
          <w:rFonts w:ascii="Times-Roman" w:hAnsi="Times-Roman" w:cs="Times-Roman"/>
          <w:color w:val="000000"/>
          <w:sz w:val="24"/>
          <w:szCs w:val="24"/>
        </w:rPr>
      </w:pPr>
      <w:r>
        <w:rPr>
          <w:rFonts w:ascii="Times-Roman" w:hAnsi="Times-Roman" w:cs="Times-Roman"/>
          <w:color w:val="000000"/>
          <w:sz w:val="24"/>
          <w:szCs w:val="24"/>
        </w:rPr>
        <w:t xml:space="preserve">Pour la </w:t>
      </w:r>
      <w:r>
        <w:rPr>
          <w:rFonts w:ascii="Times-Bold" w:hAnsi="Times-Bold" w:cs="Times-Bold"/>
          <w:b/>
          <w:bCs/>
          <w:color w:val="000000"/>
          <w:sz w:val="24"/>
          <w:szCs w:val="24"/>
        </w:rPr>
        <w:t xml:space="preserve">syphilis </w:t>
      </w:r>
      <w:r>
        <w:rPr>
          <w:rFonts w:ascii="Times-Roman" w:hAnsi="Times-Roman" w:cs="Times-Roman"/>
          <w:color w:val="000000"/>
          <w:sz w:val="24"/>
          <w:szCs w:val="24"/>
        </w:rPr>
        <w:t>42% des entrants sont dépistés (de 19 à 77%).</w:t>
      </w:r>
    </w:p>
    <w:p w:rsidR="00C55A87" w:rsidRDefault="00C55A87" w:rsidP="005E2E8F">
      <w:pPr>
        <w:autoSpaceDE w:val="0"/>
        <w:autoSpaceDN w:val="0"/>
        <w:adjustRightInd w:val="0"/>
        <w:spacing w:after="0" w:line="240" w:lineRule="auto"/>
        <w:jc w:val="both"/>
        <w:rPr>
          <w:rFonts w:ascii="Times-Roman" w:hAnsi="Times-Roman" w:cs="Times-Roman"/>
          <w:color w:val="000000"/>
          <w:sz w:val="24"/>
          <w:szCs w:val="24"/>
        </w:rPr>
      </w:pPr>
      <w:r>
        <w:rPr>
          <w:rFonts w:ascii="Times-Roman" w:hAnsi="Times-Roman" w:cs="Times-Roman"/>
          <w:color w:val="000000"/>
          <w:sz w:val="24"/>
          <w:szCs w:val="24"/>
        </w:rPr>
        <w:t xml:space="preserve">Pour </w:t>
      </w:r>
      <w:r w:rsidR="005E2E8F">
        <w:rPr>
          <w:rFonts w:ascii="Times-Bold" w:hAnsi="Times-Bold" w:cs="Times-Bold"/>
          <w:b/>
          <w:bCs/>
          <w:color w:val="000000"/>
          <w:sz w:val="24"/>
          <w:szCs w:val="24"/>
        </w:rPr>
        <w:t>Chlamy</w:t>
      </w:r>
      <w:r>
        <w:rPr>
          <w:rFonts w:ascii="Times-Bold" w:hAnsi="Times-Bold" w:cs="Times-Bold"/>
          <w:b/>
          <w:bCs/>
          <w:color w:val="000000"/>
          <w:sz w:val="24"/>
          <w:szCs w:val="24"/>
        </w:rPr>
        <w:t xml:space="preserve">dia et Gonocoque, </w:t>
      </w:r>
      <w:r>
        <w:rPr>
          <w:rFonts w:ascii="Times-Roman" w:hAnsi="Times-Roman" w:cs="Times-Roman"/>
          <w:color w:val="000000"/>
          <w:sz w:val="24"/>
          <w:szCs w:val="24"/>
        </w:rPr>
        <w:t>0,1 à 56%</w:t>
      </w:r>
      <w:r>
        <w:rPr>
          <w:rFonts w:ascii="Times-Bold" w:hAnsi="Times-Bold" w:cs="Times-Bold"/>
          <w:b/>
          <w:bCs/>
          <w:color w:val="000000"/>
          <w:sz w:val="24"/>
          <w:szCs w:val="24"/>
        </w:rPr>
        <w:t xml:space="preserve"> </w:t>
      </w:r>
      <w:r>
        <w:rPr>
          <w:rFonts w:ascii="Times-Roman" w:hAnsi="Times-Roman" w:cs="Times-Roman"/>
          <w:color w:val="000000"/>
          <w:sz w:val="24"/>
          <w:szCs w:val="24"/>
        </w:rPr>
        <w:t>des entrants dépistés (21,6% en moyenne) reflétant une offre diagnostique lorsque le taux de tests est bas et de dépistage lorsqu’il est élevé.</w:t>
      </w:r>
    </w:p>
    <w:p w:rsidR="00C55A87" w:rsidRDefault="00C55A87" w:rsidP="005E2E8F">
      <w:pPr>
        <w:autoSpaceDE w:val="0"/>
        <w:autoSpaceDN w:val="0"/>
        <w:adjustRightInd w:val="0"/>
        <w:spacing w:after="0" w:line="240" w:lineRule="auto"/>
        <w:jc w:val="both"/>
        <w:rPr>
          <w:rFonts w:ascii="Times-Roman" w:hAnsi="Times-Roman" w:cs="Times-Roman"/>
          <w:color w:val="000000"/>
          <w:sz w:val="24"/>
          <w:szCs w:val="24"/>
        </w:rPr>
      </w:pPr>
    </w:p>
    <w:p w:rsidR="00C55A87" w:rsidRDefault="00C55A87" w:rsidP="005E2E8F">
      <w:pPr>
        <w:autoSpaceDE w:val="0"/>
        <w:autoSpaceDN w:val="0"/>
        <w:adjustRightInd w:val="0"/>
        <w:spacing w:after="0" w:line="240" w:lineRule="auto"/>
        <w:jc w:val="both"/>
        <w:rPr>
          <w:rFonts w:ascii="Times-Bold" w:hAnsi="Times-Bold" w:cs="Times-Bold"/>
          <w:b/>
          <w:bCs/>
          <w:color w:val="000000"/>
          <w:sz w:val="24"/>
          <w:szCs w:val="24"/>
        </w:rPr>
      </w:pPr>
      <w:r>
        <w:rPr>
          <w:rFonts w:ascii="Times-Bold" w:hAnsi="Times-Bold" w:cs="Times-Bold"/>
          <w:b/>
          <w:bCs/>
          <w:color w:val="000000"/>
          <w:sz w:val="24"/>
          <w:szCs w:val="24"/>
        </w:rPr>
        <w:lastRenderedPageBreak/>
        <w:t>Prévalence :</w:t>
      </w:r>
    </w:p>
    <w:p w:rsidR="00C55A87" w:rsidRDefault="00C55A87" w:rsidP="005E2E8F">
      <w:pPr>
        <w:autoSpaceDE w:val="0"/>
        <w:autoSpaceDN w:val="0"/>
        <w:adjustRightInd w:val="0"/>
        <w:spacing w:after="0" w:line="240" w:lineRule="auto"/>
        <w:jc w:val="both"/>
        <w:rPr>
          <w:rFonts w:ascii="Times-Bold" w:hAnsi="Times-Bold" w:cs="Times-Bold"/>
          <w:b/>
          <w:bCs/>
          <w:color w:val="000000"/>
          <w:sz w:val="24"/>
          <w:szCs w:val="24"/>
        </w:rPr>
      </w:pPr>
      <w:r>
        <w:rPr>
          <w:rFonts w:ascii="Times-Roman" w:hAnsi="Times-Roman" w:cs="Times-Roman"/>
          <w:color w:val="000000"/>
          <w:sz w:val="24"/>
          <w:szCs w:val="24"/>
        </w:rPr>
        <w:t xml:space="preserve">Environ 1% pour le </w:t>
      </w:r>
      <w:r>
        <w:rPr>
          <w:rFonts w:ascii="Times-Bold" w:hAnsi="Times-Bold" w:cs="Times-Bold"/>
          <w:b/>
          <w:bCs/>
          <w:color w:val="000000"/>
          <w:sz w:val="24"/>
          <w:szCs w:val="24"/>
        </w:rPr>
        <w:t xml:space="preserve">VIH, </w:t>
      </w:r>
      <w:r>
        <w:rPr>
          <w:rFonts w:ascii="Times-Roman" w:hAnsi="Times-Roman" w:cs="Times-Roman"/>
          <w:color w:val="000000"/>
          <w:sz w:val="24"/>
          <w:szCs w:val="24"/>
        </w:rPr>
        <w:t xml:space="preserve">2,5% pour le </w:t>
      </w:r>
      <w:r>
        <w:rPr>
          <w:rFonts w:ascii="Times-Bold" w:hAnsi="Times-Bold" w:cs="Times-Bold"/>
          <w:b/>
          <w:bCs/>
          <w:color w:val="000000"/>
          <w:sz w:val="24"/>
          <w:szCs w:val="24"/>
        </w:rPr>
        <w:t xml:space="preserve">VHC </w:t>
      </w:r>
      <w:r>
        <w:rPr>
          <w:rFonts w:ascii="Times-Roman" w:hAnsi="Times-Roman" w:cs="Times-Roman"/>
          <w:color w:val="000000"/>
          <w:sz w:val="24"/>
          <w:szCs w:val="24"/>
        </w:rPr>
        <w:t xml:space="preserve">et 2,1% pour le </w:t>
      </w:r>
      <w:r>
        <w:rPr>
          <w:rFonts w:ascii="Times-Bold" w:hAnsi="Times-Bold" w:cs="Times-Bold"/>
          <w:b/>
          <w:bCs/>
          <w:color w:val="000000"/>
          <w:sz w:val="24"/>
          <w:szCs w:val="24"/>
        </w:rPr>
        <w:t xml:space="preserve">VHB </w:t>
      </w:r>
      <w:r>
        <w:rPr>
          <w:rFonts w:ascii="Times-Roman" w:hAnsi="Times-Roman" w:cs="Times-Roman"/>
          <w:color w:val="000000"/>
          <w:sz w:val="24"/>
          <w:szCs w:val="24"/>
        </w:rPr>
        <w:t>des entrants dépistés</w:t>
      </w:r>
      <w:r>
        <w:rPr>
          <w:rFonts w:ascii="Times-Bold" w:hAnsi="Times-Bold" w:cs="Times-Bold"/>
          <w:b/>
          <w:bCs/>
          <w:color w:val="000000"/>
          <w:sz w:val="24"/>
          <w:szCs w:val="24"/>
        </w:rPr>
        <w:t>.</w:t>
      </w:r>
    </w:p>
    <w:p w:rsidR="00C55A87" w:rsidRDefault="00C55A87" w:rsidP="005E2E8F">
      <w:pPr>
        <w:autoSpaceDE w:val="0"/>
        <w:autoSpaceDN w:val="0"/>
        <w:adjustRightInd w:val="0"/>
        <w:spacing w:after="0" w:line="240" w:lineRule="auto"/>
        <w:jc w:val="both"/>
        <w:rPr>
          <w:rFonts w:ascii="Times-Bold" w:hAnsi="Times-Bold" w:cs="Times-Bold"/>
          <w:b/>
          <w:bCs/>
          <w:color w:val="000000"/>
          <w:sz w:val="24"/>
          <w:szCs w:val="24"/>
        </w:rPr>
      </w:pPr>
      <w:r>
        <w:rPr>
          <w:rFonts w:ascii="Times-Roman" w:hAnsi="Times-Roman" w:cs="Times-Roman"/>
          <w:color w:val="000000"/>
          <w:sz w:val="24"/>
          <w:szCs w:val="24"/>
        </w:rPr>
        <w:t xml:space="preserve">3,3% pour la </w:t>
      </w:r>
      <w:r>
        <w:rPr>
          <w:rFonts w:ascii="Times-Bold" w:hAnsi="Times-Bold" w:cs="Times-Bold"/>
          <w:b/>
          <w:bCs/>
          <w:color w:val="000000"/>
          <w:sz w:val="24"/>
          <w:szCs w:val="24"/>
        </w:rPr>
        <w:t xml:space="preserve">Syphilis, </w:t>
      </w:r>
      <w:r>
        <w:rPr>
          <w:rFonts w:ascii="Times-Roman" w:hAnsi="Times-Roman" w:cs="Times-Roman"/>
          <w:color w:val="000000"/>
          <w:sz w:val="24"/>
          <w:szCs w:val="24"/>
        </w:rPr>
        <w:t xml:space="preserve">6.5% avec des taux variant de 0% à 11% en cas de test diagnostic pour </w:t>
      </w:r>
      <w:r w:rsidR="005E2E8F">
        <w:rPr>
          <w:rFonts w:ascii="Times-Bold" w:hAnsi="Times-Bold" w:cs="Times-Bold"/>
          <w:b/>
          <w:bCs/>
          <w:color w:val="000000"/>
          <w:sz w:val="24"/>
          <w:szCs w:val="24"/>
        </w:rPr>
        <w:t>Chlamy</w:t>
      </w:r>
      <w:r>
        <w:rPr>
          <w:rFonts w:ascii="Times-Bold" w:hAnsi="Times-Bold" w:cs="Times-Bold"/>
          <w:b/>
          <w:bCs/>
          <w:color w:val="000000"/>
          <w:sz w:val="24"/>
          <w:szCs w:val="24"/>
        </w:rPr>
        <w:t>dia</w:t>
      </w:r>
      <w:r>
        <w:rPr>
          <w:rFonts w:ascii="Times-Roman" w:hAnsi="Times-Roman" w:cs="Times-Roman"/>
          <w:color w:val="000000"/>
          <w:sz w:val="24"/>
          <w:szCs w:val="24"/>
        </w:rPr>
        <w:t xml:space="preserve"> et 1.1 à 2.6% dans les centres pratiquant une offre de dépistage pour le </w:t>
      </w:r>
      <w:r>
        <w:rPr>
          <w:rFonts w:ascii="Times-Bold" w:hAnsi="Times-Bold" w:cs="Times-Bold"/>
          <w:b/>
          <w:bCs/>
          <w:color w:val="000000"/>
          <w:sz w:val="24"/>
          <w:szCs w:val="24"/>
        </w:rPr>
        <w:t>Gonocoque.</w:t>
      </w:r>
    </w:p>
    <w:p w:rsidR="00C55A87" w:rsidRDefault="00C55A87" w:rsidP="005E2E8F">
      <w:pPr>
        <w:autoSpaceDE w:val="0"/>
        <w:autoSpaceDN w:val="0"/>
        <w:adjustRightInd w:val="0"/>
        <w:spacing w:after="0" w:line="240" w:lineRule="auto"/>
        <w:jc w:val="both"/>
        <w:rPr>
          <w:rFonts w:ascii="Times-Bold" w:hAnsi="Times-Bold" w:cs="Times-Bold"/>
          <w:b/>
          <w:bCs/>
          <w:color w:val="000000"/>
          <w:sz w:val="24"/>
          <w:szCs w:val="24"/>
        </w:rPr>
      </w:pPr>
    </w:p>
    <w:p w:rsidR="00C55A87" w:rsidRDefault="00C55A87" w:rsidP="005E2E8F">
      <w:pPr>
        <w:autoSpaceDE w:val="0"/>
        <w:autoSpaceDN w:val="0"/>
        <w:adjustRightInd w:val="0"/>
        <w:spacing w:after="0" w:line="240" w:lineRule="auto"/>
        <w:jc w:val="both"/>
        <w:rPr>
          <w:rFonts w:ascii="Times-Bold" w:hAnsi="Times-Bold" w:cs="Times-Bold"/>
          <w:b/>
          <w:bCs/>
          <w:color w:val="000000"/>
          <w:sz w:val="24"/>
          <w:szCs w:val="24"/>
        </w:rPr>
      </w:pPr>
      <w:r>
        <w:rPr>
          <w:rFonts w:ascii="Times-Bold" w:hAnsi="Times-Bold" w:cs="Times-Bold"/>
          <w:b/>
          <w:bCs/>
          <w:color w:val="000000"/>
          <w:sz w:val="24"/>
          <w:szCs w:val="24"/>
        </w:rPr>
        <w:t>Traitement :</w:t>
      </w:r>
    </w:p>
    <w:p w:rsidR="00C55A87" w:rsidRDefault="00C55A87" w:rsidP="005E2E8F">
      <w:pPr>
        <w:autoSpaceDE w:val="0"/>
        <w:autoSpaceDN w:val="0"/>
        <w:adjustRightInd w:val="0"/>
        <w:spacing w:after="0" w:line="240" w:lineRule="auto"/>
        <w:jc w:val="both"/>
        <w:rPr>
          <w:rFonts w:ascii="Times-Bold" w:hAnsi="Times-Bold" w:cs="Times-Bold"/>
          <w:b/>
          <w:bCs/>
          <w:color w:val="000000"/>
          <w:sz w:val="24"/>
          <w:szCs w:val="24"/>
        </w:rPr>
      </w:pPr>
      <w:r>
        <w:rPr>
          <w:rFonts w:ascii="Times-Roman" w:hAnsi="Times-Roman" w:cs="Times-Roman"/>
          <w:color w:val="000000"/>
          <w:sz w:val="24"/>
          <w:szCs w:val="24"/>
        </w:rPr>
        <w:t xml:space="preserve">185 (0,67%) ont bénéficié d’un traitement dont 85% ont une charge virale sous le seuil de détection pour le </w:t>
      </w:r>
      <w:r>
        <w:rPr>
          <w:rFonts w:ascii="Times-Bold" w:hAnsi="Times-Bold" w:cs="Times-Bold"/>
          <w:b/>
          <w:bCs/>
          <w:color w:val="000000"/>
          <w:sz w:val="24"/>
          <w:szCs w:val="24"/>
        </w:rPr>
        <w:t>VIH.</w:t>
      </w:r>
    </w:p>
    <w:p w:rsidR="00C55A87" w:rsidRDefault="00C55A87" w:rsidP="005E2E8F">
      <w:pPr>
        <w:autoSpaceDE w:val="0"/>
        <w:autoSpaceDN w:val="0"/>
        <w:adjustRightInd w:val="0"/>
        <w:spacing w:after="0" w:line="240" w:lineRule="auto"/>
        <w:jc w:val="both"/>
        <w:rPr>
          <w:rFonts w:ascii="Times-Bold" w:hAnsi="Times-Bold" w:cs="Times-Bold"/>
          <w:b/>
          <w:bCs/>
          <w:color w:val="000000"/>
          <w:sz w:val="24"/>
          <w:szCs w:val="24"/>
        </w:rPr>
      </w:pPr>
      <w:r>
        <w:rPr>
          <w:rFonts w:ascii="Times-Roman" w:hAnsi="Times-Roman" w:cs="Times-Roman"/>
          <w:color w:val="000000"/>
          <w:sz w:val="24"/>
          <w:szCs w:val="24"/>
        </w:rPr>
        <w:t xml:space="preserve">29 patients ont bénéficié d’un traitement pour le </w:t>
      </w:r>
      <w:r>
        <w:rPr>
          <w:rFonts w:ascii="Times-Bold" w:hAnsi="Times-Bold" w:cs="Times-Bold"/>
          <w:b/>
          <w:bCs/>
          <w:color w:val="000000"/>
          <w:sz w:val="24"/>
          <w:szCs w:val="24"/>
        </w:rPr>
        <w:t xml:space="preserve">VHC </w:t>
      </w:r>
      <w:r>
        <w:rPr>
          <w:rFonts w:ascii="Times-Roman" w:hAnsi="Times-Roman" w:cs="Times-Roman"/>
          <w:color w:val="000000"/>
          <w:sz w:val="24"/>
          <w:szCs w:val="24"/>
        </w:rPr>
        <w:t xml:space="preserve">et 26 pour le </w:t>
      </w:r>
      <w:r>
        <w:rPr>
          <w:rFonts w:ascii="Times-Bold" w:hAnsi="Times-Bold" w:cs="Times-Bold"/>
          <w:b/>
          <w:bCs/>
          <w:color w:val="000000"/>
          <w:sz w:val="24"/>
          <w:szCs w:val="24"/>
        </w:rPr>
        <w:t>VHB.</w:t>
      </w:r>
    </w:p>
    <w:p w:rsidR="00C55A87" w:rsidRDefault="00C55A87" w:rsidP="005E2E8F">
      <w:pPr>
        <w:autoSpaceDE w:val="0"/>
        <w:autoSpaceDN w:val="0"/>
        <w:adjustRightInd w:val="0"/>
        <w:spacing w:after="240" w:line="240" w:lineRule="auto"/>
        <w:jc w:val="both"/>
        <w:rPr>
          <w:rFonts w:ascii="Times-Roman" w:hAnsi="Times-Roman" w:cs="Times-Roman"/>
          <w:color w:val="000000"/>
          <w:sz w:val="24"/>
          <w:szCs w:val="24"/>
        </w:rPr>
      </w:pPr>
      <w:r>
        <w:rPr>
          <w:rFonts w:ascii="Times-Roman" w:hAnsi="Times-Roman" w:cs="Times-Roman"/>
          <w:color w:val="000000"/>
          <w:sz w:val="24"/>
          <w:szCs w:val="24"/>
        </w:rPr>
        <w:t xml:space="preserve">A partir de toutes ces données et réflexion, le groupe de la commission se propose de rédiger un </w:t>
      </w:r>
      <w:proofErr w:type="spellStart"/>
      <w:r>
        <w:rPr>
          <w:rFonts w:ascii="Times-Roman" w:hAnsi="Times-Roman" w:cs="Times-Roman"/>
          <w:color w:val="000000"/>
          <w:sz w:val="24"/>
          <w:szCs w:val="24"/>
        </w:rPr>
        <w:t>draft</w:t>
      </w:r>
      <w:proofErr w:type="spellEnd"/>
      <w:r>
        <w:rPr>
          <w:rFonts w:ascii="Times-Roman" w:hAnsi="Times-Roman" w:cs="Times-Roman"/>
          <w:color w:val="000000"/>
          <w:sz w:val="24"/>
          <w:szCs w:val="24"/>
        </w:rPr>
        <w:t xml:space="preserve"> accompagné d’explications voire de propositions de recommandations de la part du </w:t>
      </w:r>
      <w:proofErr w:type="spellStart"/>
      <w:r>
        <w:rPr>
          <w:rFonts w:ascii="Times-Roman" w:hAnsi="Times-Roman" w:cs="Times-Roman"/>
          <w:color w:val="000000"/>
          <w:sz w:val="24"/>
          <w:szCs w:val="24"/>
        </w:rPr>
        <w:t>CoreVIH</w:t>
      </w:r>
      <w:proofErr w:type="spellEnd"/>
      <w:r>
        <w:rPr>
          <w:rFonts w:ascii="Times-Roman" w:hAnsi="Times-Roman" w:cs="Times-Roman"/>
          <w:color w:val="000000"/>
          <w:sz w:val="24"/>
          <w:szCs w:val="24"/>
        </w:rPr>
        <w:t>. Le tout pourrait être diffusé auprès des Unités sanitaires en milieu carcéral.</w:t>
      </w:r>
    </w:p>
    <w:p w:rsidR="00C55A87" w:rsidRDefault="00C55A87" w:rsidP="005E2E8F">
      <w:pPr>
        <w:autoSpaceDE w:val="0"/>
        <w:autoSpaceDN w:val="0"/>
        <w:adjustRightInd w:val="0"/>
        <w:spacing w:after="240" w:line="240" w:lineRule="auto"/>
        <w:jc w:val="both"/>
        <w:rPr>
          <w:rFonts w:ascii="Times-Roman" w:hAnsi="Times-Roman" w:cs="Times-Roman"/>
          <w:color w:val="000000"/>
          <w:sz w:val="24"/>
          <w:szCs w:val="24"/>
        </w:rPr>
      </w:pPr>
      <w:r>
        <w:rPr>
          <w:rFonts w:ascii="Times-Roman" w:hAnsi="Times-Roman" w:cs="Times-Roman"/>
          <w:color w:val="000000"/>
          <w:sz w:val="24"/>
          <w:szCs w:val="24"/>
        </w:rPr>
        <w:t>Il conviendrait de reprendre les chiffres du Ministère de la Justice et de noter mois par mois le nombre d’entrants en détention afin d’avoir un résultat sur le nombre de détenus par an.</w:t>
      </w:r>
    </w:p>
    <w:p w:rsidR="00C55A87" w:rsidRPr="005E2E8F" w:rsidRDefault="00C55A87" w:rsidP="005E2E8F">
      <w:pPr>
        <w:autoSpaceDE w:val="0"/>
        <w:autoSpaceDN w:val="0"/>
        <w:adjustRightInd w:val="0"/>
        <w:spacing w:after="240" w:line="240" w:lineRule="auto"/>
        <w:jc w:val="center"/>
        <w:rPr>
          <w:rFonts w:ascii="Times-Roman" w:hAnsi="Times-Roman" w:cs="Times-Roman"/>
          <w:color w:val="FF0000"/>
          <w:sz w:val="24"/>
          <w:szCs w:val="24"/>
        </w:rPr>
      </w:pPr>
      <w:r w:rsidRPr="005E2E8F">
        <w:rPr>
          <w:rFonts w:ascii="Times-Bold" w:hAnsi="Times-Bold" w:cs="Times-Bold"/>
          <w:b/>
          <w:bCs/>
          <w:color w:val="FF0000"/>
          <w:sz w:val="24"/>
          <w:szCs w:val="24"/>
        </w:rPr>
        <w:t>Prochaine date : Mercredi 10 avril à 17h00</w:t>
      </w:r>
    </w:p>
    <w:p w:rsidR="00C55A87" w:rsidRPr="005E2E8F" w:rsidRDefault="00C55A87" w:rsidP="005E2E8F">
      <w:pPr>
        <w:autoSpaceDE w:val="0"/>
        <w:autoSpaceDN w:val="0"/>
        <w:adjustRightInd w:val="0"/>
        <w:spacing w:after="240" w:line="240" w:lineRule="auto"/>
        <w:jc w:val="center"/>
        <w:rPr>
          <w:rFonts w:ascii="Times-Roman" w:hAnsi="Times-Roman" w:cs="Times-Roman"/>
          <w:color w:val="FF0000"/>
          <w:sz w:val="24"/>
          <w:szCs w:val="24"/>
        </w:rPr>
      </w:pPr>
      <w:r w:rsidRPr="005E2E8F">
        <w:rPr>
          <w:rFonts w:ascii="Times-Bold" w:hAnsi="Times-Bold" w:cs="Times-Bold"/>
          <w:b/>
          <w:bCs/>
          <w:color w:val="FF0000"/>
          <w:sz w:val="24"/>
          <w:szCs w:val="24"/>
        </w:rPr>
        <w:t>Teams</w:t>
      </w:r>
    </w:p>
    <w:p w:rsidR="00D26152" w:rsidRDefault="00D26152"/>
    <w:sectPr w:rsidR="00D261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35791D"/>
    <w:multiLevelType w:val="hybridMultilevel"/>
    <w:tmpl w:val="2C8EBCBA"/>
    <w:lvl w:ilvl="0" w:tplc="B71C24D4">
      <w:numFmt w:val="bullet"/>
      <w:lvlText w:val="-"/>
      <w:lvlJc w:val="left"/>
      <w:pPr>
        <w:ind w:left="720" w:hanging="360"/>
      </w:pPr>
      <w:rPr>
        <w:rFonts w:ascii="Calibri" w:eastAsiaTheme="minorHAnsi" w:hAnsi="Calibri" w:cs="Calibr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E72676"/>
    <w:multiLevelType w:val="hybridMultilevel"/>
    <w:tmpl w:val="DD8CFC3E"/>
    <w:lvl w:ilvl="0" w:tplc="CF7EB12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244B174D"/>
    <w:multiLevelType w:val="hybridMultilevel"/>
    <w:tmpl w:val="5A2A8F2C"/>
    <w:lvl w:ilvl="0" w:tplc="9094F1A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7B3D6F"/>
    <w:multiLevelType w:val="hybridMultilevel"/>
    <w:tmpl w:val="0B40D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FE3F11"/>
    <w:multiLevelType w:val="multilevel"/>
    <w:tmpl w:val="44C6F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0D36E9"/>
    <w:multiLevelType w:val="hybridMultilevel"/>
    <w:tmpl w:val="9338461C"/>
    <w:lvl w:ilvl="0" w:tplc="C3C86CB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CA1884"/>
    <w:multiLevelType w:val="hybridMultilevel"/>
    <w:tmpl w:val="7D686744"/>
    <w:lvl w:ilvl="0" w:tplc="75FA75CC">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DFF7B76"/>
    <w:multiLevelType w:val="hybridMultilevel"/>
    <w:tmpl w:val="135CFFDE"/>
    <w:lvl w:ilvl="0" w:tplc="F9C6EA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1"/>
  </w:num>
  <w:num w:numId="5">
    <w:abstractNumId w:val="5"/>
  </w:num>
  <w:num w:numId="6">
    <w:abstractNumId w:val="2"/>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468"/>
    <w:rsid w:val="00010656"/>
    <w:rsid w:val="00027E9F"/>
    <w:rsid w:val="00040B27"/>
    <w:rsid w:val="000552BA"/>
    <w:rsid w:val="00056438"/>
    <w:rsid w:val="000707E2"/>
    <w:rsid w:val="00086343"/>
    <w:rsid w:val="000A2387"/>
    <w:rsid w:val="000B126C"/>
    <w:rsid w:val="000D5717"/>
    <w:rsid w:val="001063C1"/>
    <w:rsid w:val="001325CA"/>
    <w:rsid w:val="00177CDB"/>
    <w:rsid w:val="001C7DF1"/>
    <w:rsid w:val="0020302F"/>
    <w:rsid w:val="0021387E"/>
    <w:rsid w:val="0022654B"/>
    <w:rsid w:val="00250EBB"/>
    <w:rsid w:val="002602D7"/>
    <w:rsid w:val="002715CB"/>
    <w:rsid w:val="002927DE"/>
    <w:rsid w:val="002B0F28"/>
    <w:rsid w:val="002C4218"/>
    <w:rsid w:val="002E7547"/>
    <w:rsid w:val="002F05BF"/>
    <w:rsid w:val="003017AE"/>
    <w:rsid w:val="00304010"/>
    <w:rsid w:val="0031316D"/>
    <w:rsid w:val="0034059D"/>
    <w:rsid w:val="0034700A"/>
    <w:rsid w:val="003B49EF"/>
    <w:rsid w:val="003C523E"/>
    <w:rsid w:val="00406787"/>
    <w:rsid w:val="00436E85"/>
    <w:rsid w:val="00437A21"/>
    <w:rsid w:val="00460D75"/>
    <w:rsid w:val="00482A09"/>
    <w:rsid w:val="004A6A15"/>
    <w:rsid w:val="00544B1F"/>
    <w:rsid w:val="00547F59"/>
    <w:rsid w:val="00550468"/>
    <w:rsid w:val="00563FE7"/>
    <w:rsid w:val="0058133F"/>
    <w:rsid w:val="00586D4D"/>
    <w:rsid w:val="00590020"/>
    <w:rsid w:val="00593069"/>
    <w:rsid w:val="005E2E8F"/>
    <w:rsid w:val="00625C8D"/>
    <w:rsid w:val="00685937"/>
    <w:rsid w:val="00687B71"/>
    <w:rsid w:val="006D53AC"/>
    <w:rsid w:val="006D6BFE"/>
    <w:rsid w:val="006F0039"/>
    <w:rsid w:val="006F25CF"/>
    <w:rsid w:val="006F5581"/>
    <w:rsid w:val="0074440E"/>
    <w:rsid w:val="00747501"/>
    <w:rsid w:val="00773FDD"/>
    <w:rsid w:val="0079639A"/>
    <w:rsid w:val="007A2656"/>
    <w:rsid w:val="007B3D65"/>
    <w:rsid w:val="007B4ABF"/>
    <w:rsid w:val="007C79B9"/>
    <w:rsid w:val="007F3697"/>
    <w:rsid w:val="00890775"/>
    <w:rsid w:val="008A3E41"/>
    <w:rsid w:val="008C73BF"/>
    <w:rsid w:val="008E1A19"/>
    <w:rsid w:val="00911785"/>
    <w:rsid w:val="00932DE2"/>
    <w:rsid w:val="00976BB8"/>
    <w:rsid w:val="00993876"/>
    <w:rsid w:val="009B235A"/>
    <w:rsid w:val="009D7287"/>
    <w:rsid w:val="009F5947"/>
    <w:rsid w:val="00A171EA"/>
    <w:rsid w:val="00A20407"/>
    <w:rsid w:val="00A90F93"/>
    <w:rsid w:val="00AF770E"/>
    <w:rsid w:val="00AF790D"/>
    <w:rsid w:val="00B022FF"/>
    <w:rsid w:val="00B34E02"/>
    <w:rsid w:val="00B622FF"/>
    <w:rsid w:val="00BA0F24"/>
    <w:rsid w:val="00BB1DC4"/>
    <w:rsid w:val="00BC22A1"/>
    <w:rsid w:val="00BD1C74"/>
    <w:rsid w:val="00BF5837"/>
    <w:rsid w:val="00C2743B"/>
    <w:rsid w:val="00C55A87"/>
    <w:rsid w:val="00C650F0"/>
    <w:rsid w:val="00C95CF6"/>
    <w:rsid w:val="00CB4886"/>
    <w:rsid w:val="00D1349D"/>
    <w:rsid w:val="00D26152"/>
    <w:rsid w:val="00D5565F"/>
    <w:rsid w:val="00D64336"/>
    <w:rsid w:val="00DB3702"/>
    <w:rsid w:val="00E00D4D"/>
    <w:rsid w:val="00E62BB2"/>
    <w:rsid w:val="00E71B45"/>
    <w:rsid w:val="00E726C1"/>
    <w:rsid w:val="00E84B88"/>
    <w:rsid w:val="00E92416"/>
    <w:rsid w:val="00EA08C5"/>
    <w:rsid w:val="00EB2FC3"/>
    <w:rsid w:val="00F20885"/>
    <w:rsid w:val="00F258B2"/>
    <w:rsid w:val="00F50791"/>
    <w:rsid w:val="00F50872"/>
    <w:rsid w:val="00F71579"/>
    <w:rsid w:val="00F92C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4CE756"/>
  <w15:chartTrackingRefBased/>
  <w15:docId w15:val="{ACFAED05-2E69-478D-9F85-07697BB3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F2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A0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A0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3335">
      <w:bodyDiv w:val="1"/>
      <w:marLeft w:val="0"/>
      <w:marRight w:val="0"/>
      <w:marTop w:val="0"/>
      <w:marBottom w:val="0"/>
      <w:divBdr>
        <w:top w:val="none" w:sz="0" w:space="0" w:color="auto"/>
        <w:left w:val="none" w:sz="0" w:space="0" w:color="auto"/>
        <w:bottom w:val="none" w:sz="0" w:space="0" w:color="auto"/>
        <w:right w:val="none" w:sz="0" w:space="0" w:color="auto"/>
      </w:divBdr>
    </w:div>
    <w:div w:id="21562323">
      <w:bodyDiv w:val="1"/>
      <w:marLeft w:val="0"/>
      <w:marRight w:val="0"/>
      <w:marTop w:val="0"/>
      <w:marBottom w:val="0"/>
      <w:divBdr>
        <w:top w:val="none" w:sz="0" w:space="0" w:color="auto"/>
        <w:left w:val="none" w:sz="0" w:space="0" w:color="auto"/>
        <w:bottom w:val="none" w:sz="0" w:space="0" w:color="auto"/>
        <w:right w:val="none" w:sz="0" w:space="0" w:color="auto"/>
      </w:divBdr>
    </w:div>
    <w:div w:id="32116774">
      <w:bodyDiv w:val="1"/>
      <w:marLeft w:val="0"/>
      <w:marRight w:val="0"/>
      <w:marTop w:val="0"/>
      <w:marBottom w:val="0"/>
      <w:divBdr>
        <w:top w:val="none" w:sz="0" w:space="0" w:color="auto"/>
        <w:left w:val="none" w:sz="0" w:space="0" w:color="auto"/>
        <w:bottom w:val="none" w:sz="0" w:space="0" w:color="auto"/>
        <w:right w:val="none" w:sz="0" w:space="0" w:color="auto"/>
      </w:divBdr>
    </w:div>
    <w:div w:id="162360376">
      <w:bodyDiv w:val="1"/>
      <w:marLeft w:val="0"/>
      <w:marRight w:val="0"/>
      <w:marTop w:val="0"/>
      <w:marBottom w:val="0"/>
      <w:divBdr>
        <w:top w:val="none" w:sz="0" w:space="0" w:color="auto"/>
        <w:left w:val="none" w:sz="0" w:space="0" w:color="auto"/>
        <w:bottom w:val="none" w:sz="0" w:space="0" w:color="auto"/>
        <w:right w:val="none" w:sz="0" w:space="0" w:color="auto"/>
      </w:divBdr>
    </w:div>
    <w:div w:id="187958277">
      <w:bodyDiv w:val="1"/>
      <w:marLeft w:val="0"/>
      <w:marRight w:val="0"/>
      <w:marTop w:val="0"/>
      <w:marBottom w:val="0"/>
      <w:divBdr>
        <w:top w:val="none" w:sz="0" w:space="0" w:color="auto"/>
        <w:left w:val="none" w:sz="0" w:space="0" w:color="auto"/>
        <w:bottom w:val="none" w:sz="0" w:space="0" w:color="auto"/>
        <w:right w:val="none" w:sz="0" w:space="0" w:color="auto"/>
      </w:divBdr>
    </w:div>
    <w:div w:id="904100724">
      <w:bodyDiv w:val="1"/>
      <w:marLeft w:val="0"/>
      <w:marRight w:val="0"/>
      <w:marTop w:val="0"/>
      <w:marBottom w:val="0"/>
      <w:divBdr>
        <w:top w:val="none" w:sz="0" w:space="0" w:color="auto"/>
        <w:left w:val="none" w:sz="0" w:space="0" w:color="auto"/>
        <w:bottom w:val="none" w:sz="0" w:space="0" w:color="auto"/>
        <w:right w:val="none" w:sz="0" w:space="0" w:color="auto"/>
      </w:divBdr>
    </w:div>
    <w:div w:id="1130394483">
      <w:bodyDiv w:val="1"/>
      <w:marLeft w:val="0"/>
      <w:marRight w:val="0"/>
      <w:marTop w:val="0"/>
      <w:marBottom w:val="0"/>
      <w:divBdr>
        <w:top w:val="none" w:sz="0" w:space="0" w:color="auto"/>
        <w:left w:val="none" w:sz="0" w:space="0" w:color="auto"/>
        <w:bottom w:val="none" w:sz="0" w:space="0" w:color="auto"/>
        <w:right w:val="none" w:sz="0" w:space="0" w:color="auto"/>
      </w:divBdr>
    </w:div>
    <w:div w:id="2005281848">
      <w:bodyDiv w:val="1"/>
      <w:marLeft w:val="0"/>
      <w:marRight w:val="0"/>
      <w:marTop w:val="0"/>
      <w:marBottom w:val="0"/>
      <w:divBdr>
        <w:top w:val="none" w:sz="0" w:space="0" w:color="auto"/>
        <w:left w:val="none" w:sz="0" w:space="0" w:color="auto"/>
        <w:bottom w:val="none" w:sz="0" w:space="0" w:color="auto"/>
        <w:right w:val="none" w:sz="0" w:space="0" w:color="auto"/>
      </w:divBdr>
    </w:div>
    <w:div w:id="212823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842</Words>
  <Characters>4632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ASSOUN Isabelle</dc:creator>
  <cp:keywords/>
  <dc:description/>
  <cp:lastModifiedBy>ROCHES Noemie</cp:lastModifiedBy>
  <cp:revision>4</cp:revision>
  <cp:lastPrinted>2023-10-20T14:40:00Z</cp:lastPrinted>
  <dcterms:created xsi:type="dcterms:W3CDTF">2024-03-14T12:57:00Z</dcterms:created>
  <dcterms:modified xsi:type="dcterms:W3CDTF">2024-03-21T11:05:00Z</dcterms:modified>
</cp:coreProperties>
</file>